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B9841F"/>
    <w:p w14:paraId="4BDF1B67"/>
    <w:p w14:paraId="7ED29222"/>
    <w:p w14:paraId="741FDEAA"/>
    <w:p w14:paraId="702E02AE"/>
    <w:p w14:paraId="64724258"/>
    <w:p w14:paraId="54265BD5"/>
    <w:p w14:paraId="4D03842A"/>
    <w:p w14:paraId="1C82DE24"/>
    <w:p w14:paraId="7C32FAEF"/>
    <w:p w14:paraId="75DACBD6"/>
    <w:p w14:paraId="5E0EC01A">
      <w:pPr>
        <w:jc w:val="center"/>
        <w:rPr>
          <w:rFonts w:hint="eastAsia" w:ascii="宋体" w:hAnsi="宋体" w:cs="宋体"/>
          <w:b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sz w:val="52"/>
          <w:szCs w:val="52"/>
        </w:rPr>
        <w:t>河北省</w:t>
      </w:r>
      <w:r>
        <w:rPr>
          <w:rFonts w:hint="eastAsia" w:ascii="宋体" w:hAnsi="宋体" w:cs="宋体"/>
          <w:b/>
          <w:sz w:val="52"/>
          <w:szCs w:val="52"/>
          <w:lang w:val="en-US" w:eastAsia="zh-CN"/>
        </w:rPr>
        <w:t>公共资源交易中心</w:t>
      </w:r>
    </w:p>
    <w:p w14:paraId="4C703CFA">
      <w:pPr>
        <w:jc w:val="center"/>
        <w:rPr>
          <w:rFonts w:hint="eastAsia"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eastAsia="宋体" w:cs="宋体"/>
          <w:b/>
          <w:sz w:val="52"/>
          <w:szCs w:val="52"/>
          <w:lang w:val="en-US" w:eastAsia="zh-CN"/>
        </w:rPr>
        <w:t>不见面询标</w:t>
      </w:r>
      <w:r>
        <w:rPr>
          <w:rFonts w:hint="eastAsia" w:ascii="宋体" w:hAnsi="宋体" w:eastAsia="宋体" w:cs="宋体"/>
          <w:b/>
          <w:sz w:val="52"/>
          <w:szCs w:val="52"/>
        </w:rPr>
        <w:t>系统</w:t>
      </w:r>
    </w:p>
    <w:p w14:paraId="2667CAF1">
      <w:pPr>
        <w:jc w:val="center"/>
        <w:rPr>
          <w:rFonts w:hint="eastAsia"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eastAsia="宋体" w:cs="宋体"/>
          <w:b/>
          <w:sz w:val="52"/>
          <w:szCs w:val="52"/>
        </w:rPr>
        <w:t>代理</w:t>
      </w:r>
      <w:r>
        <w:rPr>
          <w:rFonts w:hint="eastAsia" w:ascii="宋体" w:hAnsi="宋体" w:eastAsia="宋体" w:cs="宋体"/>
          <w:b/>
          <w:sz w:val="52"/>
          <w:szCs w:val="52"/>
          <w:lang w:val="en-US" w:eastAsia="zh-CN"/>
        </w:rPr>
        <w:t>机构</w:t>
      </w:r>
      <w:r>
        <w:rPr>
          <w:rFonts w:hint="eastAsia" w:ascii="宋体" w:hAnsi="宋体" w:eastAsia="宋体" w:cs="宋体"/>
          <w:b/>
          <w:sz w:val="52"/>
          <w:szCs w:val="52"/>
        </w:rPr>
        <w:t>及专家</w:t>
      </w:r>
      <w:r>
        <w:rPr>
          <w:rFonts w:hint="eastAsia" w:ascii="宋体" w:hAnsi="宋体" w:eastAsia="宋体" w:cs="宋体"/>
          <w:b/>
          <w:sz w:val="52"/>
          <w:szCs w:val="52"/>
          <w:lang w:val="en-US" w:eastAsia="zh-CN"/>
        </w:rPr>
        <w:t>评委</w:t>
      </w:r>
      <w:r>
        <w:rPr>
          <w:rFonts w:hint="eastAsia" w:ascii="宋体" w:hAnsi="宋体" w:eastAsia="宋体" w:cs="宋体"/>
          <w:b/>
          <w:sz w:val="52"/>
          <w:szCs w:val="52"/>
        </w:rPr>
        <w:t>操作手册</w:t>
      </w:r>
    </w:p>
    <w:p w14:paraId="1370B8A4">
      <w:pPr>
        <w:pStyle w:val="57"/>
        <w:ind w:firstLine="360"/>
      </w:pPr>
    </w:p>
    <w:p w14:paraId="40BC7805">
      <w:pPr>
        <w:pStyle w:val="57"/>
        <w:ind w:firstLine="360"/>
      </w:pPr>
    </w:p>
    <w:p w14:paraId="24C8AA26">
      <w:pPr>
        <w:pStyle w:val="57"/>
        <w:ind w:firstLine="360"/>
      </w:pPr>
    </w:p>
    <w:p w14:paraId="7DE4D020">
      <w:pPr>
        <w:pStyle w:val="57"/>
        <w:ind w:firstLine="360"/>
      </w:pPr>
    </w:p>
    <w:p w14:paraId="769001DC">
      <w:pPr>
        <w:pStyle w:val="57"/>
        <w:ind w:firstLine="0" w:firstLineChars="0"/>
      </w:pPr>
    </w:p>
    <w:p w14:paraId="14B05775">
      <w:pPr>
        <w:pStyle w:val="57"/>
        <w:ind w:firstLine="0" w:firstLineChars="0"/>
      </w:pPr>
    </w:p>
    <w:p w14:paraId="1A05709A">
      <w:pPr>
        <w:pStyle w:val="57"/>
        <w:ind w:firstLine="0" w:firstLineChars="0"/>
      </w:pPr>
    </w:p>
    <w:p w14:paraId="55262B86">
      <w:pPr>
        <w:widowControl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1DB1B3D2">
      <w:pPr>
        <w:pStyle w:val="132"/>
        <w:numPr>
          <w:ilvl w:val="0"/>
          <w:numId w:val="0"/>
        </w:numPr>
        <w:ind w:leftChars="0" w:firstLine="3534" w:firstLineChars="1100"/>
        <w:jc w:val="both"/>
        <w:rPr>
          <w:rFonts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b/>
          <w:bCs/>
          <w:color w:val="000000" w:themeColor="text1"/>
          <w:lang w:val="zh-CN"/>
          <w14:textFill>
            <w14:solidFill>
              <w14:schemeClr w14:val="tx1"/>
            </w14:solidFill>
          </w14:textFill>
        </w:rPr>
        <w:t>目</w:t>
      </w:r>
      <w:r>
        <w:rPr>
          <w:rFonts w:hint="eastAsia" w:ascii="宋体" w:hAnsi="宋体" w:eastAsia="宋体"/>
          <w:b/>
          <w:bCs/>
          <w:color w:val="000000" w:themeColor="text1"/>
          <w:lang w:val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000000" w:themeColor="text1"/>
          <w:lang w:val="zh-CN"/>
          <w14:textFill>
            <w14:solidFill>
              <w14:schemeClr w14:val="tx1"/>
            </w14:solidFill>
          </w14:textFill>
        </w:rPr>
        <w:t xml:space="preserve"> 录</w:t>
      </w:r>
    </w:p>
    <w:p w14:paraId="04751DAB">
      <w:pPr>
        <w:pStyle w:val="28"/>
        <w:tabs>
          <w:tab w:val="left" w:pos="1050"/>
          <w:tab w:val="right" w:leader="dot" w:pos="82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"_Toc68699668" </w:instrText>
      </w:r>
      <w:r>
        <w:fldChar w:fldCharType="separate"/>
      </w:r>
      <w:r>
        <w:rPr>
          <w:rStyle w:val="46"/>
        </w:rPr>
        <w:t>一、</w:t>
      </w:r>
      <w:r>
        <w:rPr>
          <w:rFonts w:hint="eastAsia" w:ascii="Calibri" w:hAnsi="Calibri" w:cs="Times New Roman"/>
          <w:bCs w:val="0"/>
          <w:caps w:val="0"/>
          <w:szCs w:val="22"/>
          <w:lang w:val="en-US" w:eastAsia="zh-CN"/>
        </w:rPr>
        <w:t>不见面询标系统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</w:p>
    <w:p w14:paraId="125EAD7F">
      <w:pPr>
        <w:pStyle w:val="34"/>
        <w:tabs>
          <w:tab w:val="right" w:leader="dot" w:pos="829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"_Toc68686241" </w:instrText>
      </w:r>
      <w:r>
        <w:fldChar w:fldCharType="separate"/>
      </w:r>
      <w:r>
        <w:rPr>
          <w:rStyle w:val="46"/>
          <w:rFonts w:asciiTheme="minorEastAsia" w:hAnsiTheme="minorEastAsia"/>
        </w:rPr>
        <w:t>1.1、文字询标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</w:p>
    <w:p w14:paraId="4DE0B3E6">
      <w:pPr>
        <w:pStyle w:val="20"/>
        <w:tabs>
          <w:tab w:val="right" w:leader="dot" w:pos="829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"_Toc68686242" </w:instrText>
      </w:r>
      <w:r>
        <w:fldChar w:fldCharType="separate"/>
      </w:r>
      <w:r>
        <w:rPr>
          <w:rStyle w:val="46"/>
          <w:rFonts w:asciiTheme="minorEastAsia" w:hAnsiTheme="minorEastAsia"/>
        </w:rPr>
        <w:t>1.1.1、发出文字询标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</w:p>
    <w:p w14:paraId="69BE8B28">
      <w:pPr>
        <w:pStyle w:val="20"/>
        <w:tabs>
          <w:tab w:val="right" w:leader="dot" w:pos="829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"_Toc68686243" </w:instrText>
      </w:r>
      <w:r>
        <w:fldChar w:fldCharType="separate"/>
      </w:r>
      <w:r>
        <w:rPr>
          <w:rStyle w:val="46"/>
        </w:rPr>
        <w:t>1.1.2、审核文字询标</w:t>
      </w:r>
      <w:r>
        <w:tab/>
      </w:r>
      <w:r>
        <w:rPr>
          <w:rFonts w:hint="eastAsia"/>
          <w:lang w:val="en-US" w:eastAsia="zh-CN"/>
        </w:rPr>
        <w:t>4</w:t>
      </w:r>
      <w:r>
        <w:fldChar w:fldCharType="end"/>
      </w:r>
    </w:p>
    <w:p w14:paraId="63B18E1B">
      <w:pPr>
        <w:pStyle w:val="20"/>
        <w:tabs>
          <w:tab w:val="right" w:leader="dot" w:pos="829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"_Toc68686244" </w:instrText>
      </w:r>
      <w:r>
        <w:fldChar w:fldCharType="separate"/>
      </w:r>
      <w:r>
        <w:rPr>
          <w:rStyle w:val="46"/>
          <w:rFonts w:asciiTheme="minorEastAsia" w:hAnsiTheme="minorEastAsia"/>
        </w:rPr>
        <w:t>1.1.3、查看文字询标</w:t>
      </w:r>
      <w:r>
        <w:tab/>
      </w:r>
      <w:r>
        <w:rPr>
          <w:rFonts w:hint="eastAsia"/>
          <w:lang w:val="en-US" w:eastAsia="zh-CN"/>
        </w:rPr>
        <w:t>5</w:t>
      </w:r>
      <w:r>
        <w:fldChar w:fldCharType="end"/>
      </w:r>
    </w:p>
    <w:p w14:paraId="190B1347">
      <w:pPr>
        <w:pStyle w:val="34"/>
        <w:tabs>
          <w:tab w:val="right" w:leader="dot" w:pos="829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"_Toc68686245" </w:instrText>
      </w:r>
      <w:r>
        <w:fldChar w:fldCharType="separate"/>
      </w:r>
      <w:r>
        <w:rPr>
          <w:rStyle w:val="46"/>
          <w:rFonts w:asciiTheme="minorEastAsia" w:hAnsiTheme="minorEastAsia"/>
        </w:rPr>
        <w:t>1.2、视频询标</w:t>
      </w:r>
      <w:r>
        <w:tab/>
      </w:r>
      <w:r>
        <w:rPr>
          <w:rFonts w:hint="eastAsia"/>
          <w:lang w:val="en-US" w:eastAsia="zh-CN"/>
        </w:rPr>
        <w:t>6</w:t>
      </w:r>
      <w:r>
        <w:fldChar w:fldCharType="end"/>
      </w:r>
    </w:p>
    <w:p w14:paraId="6B4E3BF4">
      <w:pPr>
        <w:pStyle w:val="20"/>
        <w:tabs>
          <w:tab w:val="right" w:leader="dot" w:pos="829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"_Toc68686246" </w:instrText>
      </w:r>
      <w:r>
        <w:fldChar w:fldCharType="separate"/>
      </w:r>
      <w:r>
        <w:rPr>
          <w:rStyle w:val="46"/>
          <w:rFonts w:asciiTheme="minorEastAsia" w:hAnsiTheme="minorEastAsia"/>
        </w:rPr>
        <w:t>1.2.1、发出视频询标</w:t>
      </w:r>
      <w:r>
        <w:tab/>
      </w:r>
      <w:r>
        <w:rPr>
          <w:rFonts w:hint="eastAsia"/>
          <w:lang w:val="en-US" w:eastAsia="zh-CN"/>
        </w:rPr>
        <w:t>7</w:t>
      </w:r>
      <w:r>
        <w:fldChar w:fldCharType="end"/>
      </w:r>
    </w:p>
    <w:p w14:paraId="55E9CC81">
      <w:pPr>
        <w:pStyle w:val="20"/>
        <w:tabs>
          <w:tab w:val="right" w:leader="dot" w:pos="829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"_Toc68686247" </w:instrText>
      </w:r>
      <w:r>
        <w:fldChar w:fldCharType="separate"/>
      </w:r>
      <w:r>
        <w:rPr>
          <w:rStyle w:val="46"/>
          <w:rFonts w:asciiTheme="minorEastAsia" w:hAnsiTheme="minorEastAsia"/>
        </w:rPr>
        <w:t>1.2.2、结束视频询标</w:t>
      </w:r>
      <w:r>
        <w:tab/>
      </w:r>
      <w:r>
        <w:rPr>
          <w:rFonts w:hint="eastAsia"/>
          <w:lang w:val="en-US" w:eastAsia="zh-CN"/>
        </w:rPr>
        <w:t>8</w:t>
      </w:r>
      <w:r>
        <w:fldChar w:fldCharType="end"/>
      </w:r>
    </w:p>
    <w:p w14:paraId="07C257FB">
      <w:r>
        <w:rPr>
          <w:b/>
          <w:bCs/>
          <w:lang w:val="zh-CN"/>
        </w:rPr>
        <w:fldChar w:fldCharType="end"/>
      </w:r>
    </w:p>
    <w:p w14:paraId="0E7B8AC4">
      <w:pPr>
        <w:widowControl/>
        <w:jc w:val="left"/>
        <w:rPr>
          <w:b/>
          <w:bCs/>
          <w:kern w:val="44"/>
          <w:sz w:val="36"/>
          <w:szCs w:val="36"/>
        </w:rPr>
      </w:pPr>
    </w:p>
    <w:p w14:paraId="5F1C26DE">
      <w:pPr>
        <w:widowControl/>
        <w:jc w:val="left"/>
        <w:rPr>
          <w:b/>
          <w:bCs/>
          <w:kern w:val="44"/>
          <w:sz w:val="36"/>
          <w:szCs w:val="36"/>
        </w:rPr>
      </w:pPr>
    </w:p>
    <w:p w14:paraId="384F3BD3">
      <w:pPr>
        <w:widowControl/>
        <w:jc w:val="left"/>
        <w:rPr>
          <w:b/>
          <w:bCs/>
          <w:kern w:val="44"/>
          <w:sz w:val="36"/>
          <w:szCs w:val="36"/>
        </w:rPr>
      </w:pPr>
    </w:p>
    <w:p w14:paraId="1D8ABB89">
      <w:pPr>
        <w:widowControl/>
        <w:jc w:val="left"/>
        <w:rPr>
          <w:b/>
          <w:bCs/>
          <w:kern w:val="44"/>
          <w:sz w:val="36"/>
          <w:szCs w:val="36"/>
        </w:rPr>
      </w:pPr>
    </w:p>
    <w:p w14:paraId="6EC6AA91">
      <w:pPr>
        <w:widowControl/>
        <w:jc w:val="left"/>
        <w:rPr>
          <w:b/>
          <w:bCs/>
          <w:kern w:val="44"/>
          <w:sz w:val="36"/>
          <w:szCs w:val="36"/>
        </w:rPr>
      </w:pPr>
    </w:p>
    <w:p w14:paraId="028F5A73">
      <w:pPr>
        <w:widowControl/>
        <w:jc w:val="left"/>
        <w:rPr>
          <w:b/>
          <w:bCs/>
          <w:kern w:val="44"/>
          <w:sz w:val="36"/>
          <w:szCs w:val="36"/>
        </w:rPr>
      </w:pPr>
    </w:p>
    <w:p w14:paraId="5697EFCC">
      <w:pPr>
        <w:widowControl/>
        <w:jc w:val="left"/>
        <w:rPr>
          <w:b/>
          <w:bCs/>
          <w:kern w:val="44"/>
          <w:sz w:val="36"/>
          <w:szCs w:val="36"/>
        </w:rPr>
      </w:pPr>
    </w:p>
    <w:p w14:paraId="4E94570F">
      <w:pPr>
        <w:widowControl/>
        <w:jc w:val="left"/>
        <w:rPr>
          <w:b/>
          <w:bCs/>
          <w:kern w:val="44"/>
          <w:sz w:val="36"/>
          <w:szCs w:val="36"/>
        </w:rPr>
      </w:pPr>
    </w:p>
    <w:p w14:paraId="559E4195">
      <w:pPr>
        <w:widowControl/>
        <w:jc w:val="left"/>
        <w:rPr>
          <w:b/>
          <w:bCs/>
          <w:kern w:val="44"/>
          <w:sz w:val="36"/>
          <w:szCs w:val="36"/>
        </w:rPr>
      </w:pPr>
    </w:p>
    <w:p w14:paraId="02A11131">
      <w:pPr>
        <w:widowControl/>
        <w:jc w:val="left"/>
        <w:rPr>
          <w:b/>
          <w:bCs/>
          <w:kern w:val="44"/>
          <w:sz w:val="36"/>
          <w:szCs w:val="36"/>
        </w:rPr>
      </w:pPr>
    </w:p>
    <w:p w14:paraId="0498A784">
      <w:pPr>
        <w:widowControl/>
        <w:jc w:val="left"/>
        <w:rPr>
          <w:b/>
          <w:bCs/>
          <w:kern w:val="44"/>
          <w:sz w:val="36"/>
          <w:szCs w:val="36"/>
        </w:rPr>
      </w:pPr>
    </w:p>
    <w:p w14:paraId="00445E08">
      <w:pPr>
        <w:widowControl/>
        <w:jc w:val="left"/>
        <w:rPr>
          <w:b/>
          <w:bCs/>
          <w:kern w:val="44"/>
          <w:sz w:val="36"/>
          <w:szCs w:val="36"/>
        </w:rPr>
      </w:pPr>
    </w:p>
    <w:p w14:paraId="3DE11539">
      <w:pPr>
        <w:widowControl/>
        <w:ind w:left="0" w:leftChars="0" w:firstLine="0" w:firstLineChars="0"/>
        <w:jc w:val="left"/>
        <w:rPr>
          <w:b/>
          <w:bCs/>
          <w:kern w:val="44"/>
          <w:sz w:val="36"/>
          <w:szCs w:val="36"/>
        </w:rPr>
      </w:pPr>
    </w:p>
    <w:p w14:paraId="3C6FB316">
      <w:pPr>
        <w:pStyle w:val="2"/>
        <w:rPr>
          <w:rFonts w:hint="default" w:asciiTheme="minorEastAsia" w:hAnsiTheme="minorEastAsia" w:eastAsia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/>
          <w:sz w:val="36"/>
          <w:szCs w:val="36"/>
          <w:lang w:val="en-US" w:eastAsia="zh-CN"/>
        </w:rPr>
        <w:t>不见面询标系统</w:t>
      </w:r>
    </w:p>
    <w:p w14:paraId="6EB13314">
      <w:pPr>
        <w:pStyle w:val="3"/>
        <w:outlineLvl w:val="0"/>
        <w:rPr>
          <w:rFonts w:asciiTheme="minorEastAsia" w:hAnsiTheme="minorEastAsia" w:eastAsiaTheme="minorEastAsia"/>
        </w:rPr>
      </w:pPr>
      <w:bookmarkStart w:id="0" w:name="_Toc68686241"/>
      <w:r>
        <w:rPr>
          <w:rFonts w:hint="eastAsia" w:asciiTheme="minorEastAsia" w:hAnsiTheme="minorEastAsia" w:eastAsiaTheme="minorEastAsia"/>
        </w:rPr>
        <w:t>文字询标</w:t>
      </w:r>
      <w:bookmarkEnd w:id="0"/>
    </w:p>
    <w:p w14:paraId="5F9692DC">
      <w:pPr>
        <w:pStyle w:val="4"/>
        <w:outlineLvl w:val="1"/>
        <w:rPr>
          <w:rFonts w:asciiTheme="minorEastAsia" w:hAnsiTheme="minorEastAsia"/>
          <w:sz w:val="24"/>
          <w:szCs w:val="24"/>
        </w:rPr>
      </w:pPr>
      <w:bookmarkStart w:id="1" w:name="_Toc68686242"/>
      <w:r>
        <w:rPr>
          <w:rFonts w:hint="eastAsia" w:asciiTheme="minorEastAsia" w:hAnsiTheme="minorEastAsia"/>
          <w:sz w:val="24"/>
          <w:szCs w:val="24"/>
        </w:rPr>
        <w:t>发出文字询标</w:t>
      </w:r>
      <w:bookmarkEnd w:id="1"/>
    </w:p>
    <w:p w14:paraId="37C3E451">
      <w:pPr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前提条件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</w:rPr>
        <w:t>专家推选出专家组长</w:t>
      </w:r>
    </w:p>
    <w:p w14:paraId="43BCA860">
      <w:pPr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操作人：</w:t>
      </w:r>
      <w:r>
        <w:rPr>
          <w:rFonts w:hint="eastAsia" w:ascii="宋体" w:hAnsi="宋体" w:eastAsia="宋体"/>
        </w:rPr>
        <w:t>专家组长</w:t>
      </w:r>
    </w:p>
    <w:p w14:paraId="3EDFDB3B"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操作步骤：</w:t>
      </w:r>
    </w:p>
    <w:p w14:paraId="7E2CAC37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1、</w:t>
      </w:r>
      <w:bookmarkStart w:id="2" w:name="_Hlk66811093"/>
      <w:r>
        <w:rPr>
          <w:rFonts w:hint="eastAsia" w:ascii="宋体" w:hAnsi="宋体" w:eastAsia="宋体"/>
        </w:rPr>
        <w:t>点击“快捷功能”，点击“澄清</w:t>
      </w:r>
      <w:bookmarkEnd w:id="2"/>
      <w:r>
        <w:rPr>
          <w:rFonts w:hint="eastAsia" w:ascii="宋体" w:hAnsi="宋体" w:eastAsia="宋体"/>
        </w:rPr>
        <w:t>”。</w:t>
      </w:r>
    </w:p>
    <w:p w14:paraId="495F112B">
      <w:r>
        <w:drawing>
          <wp:inline distT="0" distB="0" distL="114300" distR="114300">
            <wp:extent cx="5274310" cy="2508250"/>
            <wp:effectExtent l="0" t="0" r="254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AA44F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2、点击“新增澄清”，填写澄清内容和回复要求，选择回答期限，可以手动输入时间。</w:t>
      </w:r>
      <w:r>
        <w:rPr>
          <w:rFonts w:ascii="宋体" w:hAnsi="宋体" w:eastAsia="宋体"/>
        </w:rPr>
        <w:t xml:space="preserve"> </w:t>
      </w:r>
    </w:p>
    <w:p w14:paraId="75637E3A">
      <w:r>
        <w:drawing>
          <wp:inline distT="0" distB="0" distL="114300" distR="114300">
            <wp:extent cx="5274310" cy="2502535"/>
            <wp:effectExtent l="0" t="0" r="254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8C7BC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3、点击“选择”，选择要发送文字询标的单位，点击“确定”。</w:t>
      </w:r>
    </w:p>
    <w:p w14:paraId="007CCF48">
      <w:pPr>
        <w:widowControl/>
        <w:jc w:val="left"/>
      </w:pPr>
      <w:r>
        <w:drawing>
          <wp:inline distT="0" distB="0" distL="114300" distR="114300">
            <wp:extent cx="5274310" cy="2502535"/>
            <wp:effectExtent l="0" t="0" r="254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80665">
      <w:pPr>
        <w:widowControl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4、点击“上传附件”，点击“选择电子件上传”，</w:t>
      </w:r>
      <w:r>
        <w:rPr>
          <w:rFonts w:hint="eastAsia" w:ascii="宋体" w:hAnsi="宋体"/>
          <w:lang w:eastAsia="zh-CN"/>
        </w:rPr>
        <w:t>选择</w:t>
      </w:r>
      <w:r>
        <w:rPr>
          <w:rFonts w:hint="eastAsia" w:ascii="宋体" w:hAnsi="宋体" w:eastAsia="宋体"/>
        </w:rPr>
        <w:t>要上传的文件。点击查看，可以看上传的电子件。点击删除，可以删除已经上传的电子件。</w:t>
      </w:r>
    </w:p>
    <w:p w14:paraId="388C4E08">
      <w:pPr>
        <w:widowControl/>
        <w:jc w:val="left"/>
      </w:pPr>
      <w:r>
        <w:drawing>
          <wp:inline distT="0" distB="0" distL="114300" distR="114300">
            <wp:extent cx="5274310" cy="2516505"/>
            <wp:effectExtent l="0" t="0" r="2540" b="171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70D93">
      <w:pPr>
        <w:widowControl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5、点击“发出澄清”，发出文字询标给代理（经办人）审核。</w:t>
      </w:r>
    </w:p>
    <w:p w14:paraId="32627B3F">
      <w:pPr>
        <w:widowControl/>
        <w:jc w:val="left"/>
      </w:pPr>
      <w:r>
        <w:drawing>
          <wp:inline distT="0" distB="0" distL="114300" distR="114300">
            <wp:extent cx="5274310" cy="2491740"/>
            <wp:effectExtent l="0" t="0" r="2540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E101A">
      <w:pPr>
        <w:pStyle w:val="4"/>
        <w:outlineLvl w:val="1"/>
        <w:rPr>
          <w:sz w:val="24"/>
          <w:szCs w:val="24"/>
        </w:rPr>
      </w:pPr>
      <w:bookmarkStart w:id="3" w:name="_Toc68686243"/>
      <w:bookmarkStart w:id="4" w:name="_Toc68619926"/>
      <w:r>
        <w:rPr>
          <w:rFonts w:hint="eastAsia"/>
          <w:sz w:val="24"/>
          <w:szCs w:val="24"/>
        </w:rPr>
        <w:t>审核文字询标</w:t>
      </w:r>
      <w:bookmarkEnd w:id="3"/>
      <w:bookmarkEnd w:id="4"/>
    </w:p>
    <w:p w14:paraId="5A15B8AD">
      <w:r>
        <w:rPr>
          <w:rFonts w:hint="eastAsia" w:ascii="宋体" w:hAnsi="宋体" w:eastAsia="宋体"/>
          <w:b/>
          <w:bCs/>
          <w:sz w:val="24"/>
          <w:szCs w:val="24"/>
        </w:rPr>
        <w:t>前提条件</w:t>
      </w:r>
      <w:r>
        <w:rPr>
          <w:rFonts w:hint="eastAsia" w:ascii="宋体" w:hAnsi="宋体" w:eastAsia="宋体"/>
          <w:b/>
          <w:bCs/>
        </w:rPr>
        <w:t>：</w:t>
      </w:r>
      <w:r>
        <w:rPr>
          <w:rFonts w:hint="eastAsia"/>
        </w:rPr>
        <w:t>专家组长发出澄清后</w:t>
      </w:r>
    </w:p>
    <w:p w14:paraId="087536FA">
      <w:pPr>
        <w:rPr>
          <w:rFonts w:hint="eastAsia"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操作人：</w:t>
      </w:r>
      <w:r>
        <w:rPr>
          <w:rFonts w:hint="eastAsia" w:asciiTheme="minorEastAsia" w:hAnsiTheme="minorEastAsia"/>
        </w:rPr>
        <w:t>代理（经办人）</w:t>
      </w:r>
    </w:p>
    <w:p w14:paraId="3A10529D">
      <w:pPr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操作步骤：</w:t>
      </w:r>
    </w:p>
    <w:p w14:paraId="31A5959A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1、登录代理（经办人）</w:t>
      </w:r>
      <w:bookmarkStart w:id="11" w:name="_GoBack"/>
      <w:r>
        <w:rPr>
          <w:rFonts w:hint="eastAsia" w:ascii="宋体" w:hAnsi="宋体"/>
          <w:lang w:eastAsia="zh-CN"/>
        </w:rPr>
        <w:t>账号</w:t>
      </w:r>
      <w:bookmarkEnd w:id="11"/>
      <w:r>
        <w:rPr>
          <w:rFonts w:hint="eastAsia" w:ascii="宋体" w:hAnsi="宋体" w:eastAsia="宋体"/>
        </w:rPr>
        <w:t>进入项目，点击“澄清”，进入文字询标列表界面。</w:t>
      </w:r>
    </w:p>
    <w:p w14:paraId="568D6EDE">
      <w:r>
        <w:drawing>
          <wp:inline distT="0" distB="0" distL="114300" distR="114300">
            <wp:extent cx="5274310" cy="2505075"/>
            <wp:effectExtent l="0" t="0" r="2540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19AC8">
      <w:r>
        <w:rPr>
          <w:rFonts w:hint="eastAsia"/>
        </w:rPr>
        <w:t>2、点击查看，可以看到专家组长发出的文字质询的基本信息。</w:t>
      </w:r>
    </w:p>
    <w:p w14:paraId="602DBF29">
      <w:r>
        <w:drawing>
          <wp:inline distT="0" distB="0" distL="114300" distR="114300">
            <wp:extent cx="5274310" cy="2505075"/>
            <wp:effectExtent l="0" t="0" r="2540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5967C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3、点击“附件查看”，点击查看，可以看专家组长上传的附件。</w:t>
      </w:r>
    </w:p>
    <w:p w14:paraId="23AC453C">
      <w:r>
        <w:drawing>
          <wp:inline distT="0" distB="0" distL="114300" distR="114300">
            <wp:extent cx="5274310" cy="2496820"/>
            <wp:effectExtent l="0" t="0" r="2540" b="1778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FBB35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4、点击“通过”，文字质询会发送给投标人。点击“拒绝”，质询不会发送给投标人，需要专家重新提交。</w:t>
      </w:r>
    </w:p>
    <w:p w14:paraId="57B5ECA1">
      <w:pPr>
        <w:rPr>
          <w:rFonts w:hint="eastAsia"/>
        </w:rPr>
      </w:pPr>
      <w:r>
        <w:drawing>
          <wp:inline distT="0" distB="0" distL="114300" distR="114300">
            <wp:extent cx="5274310" cy="2499995"/>
            <wp:effectExtent l="0" t="0" r="2540" b="146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71575">
      <w:pPr>
        <w:pStyle w:val="4"/>
        <w:outlineLvl w:val="1"/>
        <w:rPr>
          <w:rFonts w:asciiTheme="minorEastAsia" w:hAnsiTheme="minorEastAsia"/>
          <w:sz w:val="24"/>
          <w:szCs w:val="24"/>
        </w:rPr>
      </w:pPr>
      <w:bookmarkStart w:id="5" w:name="_Toc68686244"/>
      <w:r>
        <w:rPr>
          <w:rFonts w:hint="eastAsia" w:asciiTheme="minorEastAsia" w:hAnsiTheme="minorEastAsia"/>
          <w:sz w:val="24"/>
          <w:szCs w:val="24"/>
        </w:rPr>
        <w:t>查看文字询标</w:t>
      </w:r>
      <w:bookmarkEnd w:id="5"/>
    </w:p>
    <w:p w14:paraId="5F8CDB42">
      <w:pPr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前提条件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</w:rPr>
        <w:t>投标单位回复文字询标后</w:t>
      </w:r>
      <w:r>
        <w:rPr>
          <w:rFonts w:ascii="宋体" w:hAnsi="宋体" w:eastAsia="宋体"/>
        </w:rPr>
        <w:t xml:space="preserve"> </w:t>
      </w:r>
    </w:p>
    <w:p w14:paraId="46D8D4E0">
      <w:pPr>
        <w:rPr>
          <w:rFonts w:hint="eastAsia" w:ascii="宋体" w:hAnsi="宋体" w:eastAsia="宋体"/>
        </w:rPr>
      </w:pPr>
      <w:r>
        <w:rPr>
          <w:rFonts w:hint="eastAsia" w:ascii="宋体" w:hAnsi="宋体" w:eastAsia="宋体"/>
          <w:b/>
          <w:bCs/>
        </w:rPr>
        <w:t>操作人</w:t>
      </w:r>
      <w:r>
        <w:rPr>
          <w:rFonts w:hint="eastAsia" w:ascii="宋体" w:hAnsi="宋体" w:eastAsia="宋体"/>
        </w:rPr>
        <w:t>：专家及专家组长</w:t>
      </w:r>
    </w:p>
    <w:p w14:paraId="417B1266"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操作步骤：</w:t>
      </w:r>
    </w:p>
    <w:p w14:paraId="1B4E24C3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1、</w:t>
      </w:r>
      <w:bookmarkStart w:id="6" w:name="_Hlk66811160"/>
      <w:r>
        <w:rPr>
          <w:rFonts w:hint="eastAsia" w:ascii="宋体" w:hAnsi="宋体" w:eastAsia="宋体"/>
        </w:rPr>
        <w:t>点击查看可以看到投标单位回复的内容。</w:t>
      </w:r>
      <w:bookmarkEnd w:id="6"/>
    </w:p>
    <w:p w14:paraId="158223E0">
      <w:r>
        <w:drawing>
          <wp:inline distT="0" distB="0" distL="114300" distR="114300">
            <wp:extent cx="5274310" cy="2502535"/>
            <wp:effectExtent l="0" t="0" r="2540" b="1206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7903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2、</w:t>
      </w:r>
      <w:bookmarkStart w:id="7" w:name="_Hlk66811177"/>
      <w:r>
        <w:rPr>
          <w:rFonts w:hint="eastAsia" w:ascii="宋体" w:hAnsi="宋体" w:eastAsia="宋体"/>
        </w:rPr>
        <w:t>点击“查看回复”，点击查看，可以看到投标人上传的附件。</w:t>
      </w:r>
      <w:bookmarkEnd w:id="7"/>
    </w:p>
    <w:p w14:paraId="43A3CD3A">
      <w:r>
        <w:drawing>
          <wp:inline distT="0" distB="0" distL="114300" distR="114300">
            <wp:extent cx="5274310" cy="2499995"/>
            <wp:effectExtent l="0" t="0" r="2540" b="146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FA225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3、</w:t>
      </w:r>
      <w:bookmarkStart w:id="8" w:name="_Hlk66811251"/>
      <w:r>
        <w:rPr>
          <w:rFonts w:hint="eastAsia" w:ascii="宋体" w:hAnsi="宋体" w:eastAsia="宋体"/>
        </w:rPr>
        <w:t>填写理由，点击通过或不通过对投标人回复审核。</w:t>
      </w:r>
      <w:bookmarkEnd w:id="8"/>
    </w:p>
    <w:p w14:paraId="48D68CD7">
      <w:r>
        <w:drawing>
          <wp:inline distT="0" distB="0" distL="114300" distR="114300">
            <wp:extent cx="5274310" cy="2499995"/>
            <wp:effectExtent l="0" t="0" r="2540" b="1460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19F7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4、点击评委会意见，可以看到其他专家对投标人回复的评价，输入评委会意见，点击保存，完成文字询标。</w:t>
      </w:r>
    </w:p>
    <w:p w14:paraId="1A35E38B">
      <w:r>
        <w:drawing>
          <wp:inline distT="0" distB="0" distL="114300" distR="114300">
            <wp:extent cx="5274310" cy="2505075"/>
            <wp:effectExtent l="0" t="0" r="2540" b="952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2B0E1">
      <w:pPr>
        <w:pStyle w:val="3"/>
        <w:outlineLvl w:val="0"/>
        <w:rPr>
          <w:rFonts w:asciiTheme="minorEastAsia" w:hAnsiTheme="minorEastAsia" w:eastAsiaTheme="minorEastAsia"/>
          <w:sz w:val="30"/>
          <w:szCs w:val="30"/>
        </w:rPr>
      </w:pPr>
      <w:bookmarkStart w:id="9" w:name="_Toc68686245"/>
      <w:r>
        <w:rPr>
          <w:rFonts w:hint="eastAsia" w:asciiTheme="minorEastAsia" w:hAnsiTheme="minorEastAsia" w:eastAsiaTheme="minorEastAsia"/>
          <w:sz w:val="30"/>
          <w:szCs w:val="30"/>
        </w:rPr>
        <w:t>视频询标</w:t>
      </w:r>
      <w:bookmarkEnd w:id="9"/>
    </w:p>
    <w:p w14:paraId="4142AF7D">
      <w:pPr>
        <w:pStyle w:val="4"/>
        <w:outlineLvl w:val="1"/>
        <w:rPr>
          <w:rFonts w:asciiTheme="minorEastAsia" w:hAnsiTheme="minorEastAsia"/>
          <w:sz w:val="24"/>
          <w:szCs w:val="24"/>
        </w:rPr>
      </w:pPr>
      <w:bookmarkStart w:id="10" w:name="_Toc68686246"/>
      <w:r>
        <w:rPr>
          <w:rFonts w:hint="eastAsia" w:asciiTheme="minorEastAsia" w:hAnsiTheme="minorEastAsia"/>
          <w:sz w:val="24"/>
          <w:szCs w:val="24"/>
        </w:rPr>
        <w:t>发出视频询标</w:t>
      </w:r>
      <w:bookmarkEnd w:id="10"/>
    </w:p>
    <w:p w14:paraId="53E1A0EF">
      <w:pPr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前提条件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</w:rPr>
        <w:t>专家推选出专家组长</w:t>
      </w:r>
    </w:p>
    <w:p w14:paraId="325395DA">
      <w:pPr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操作人：</w:t>
      </w:r>
      <w:r>
        <w:rPr>
          <w:rFonts w:hint="eastAsia" w:ascii="宋体" w:hAnsi="宋体" w:eastAsia="宋体"/>
        </w:rPr>
        <w:t>专家组长</w:t>
      </w:r>
    </w:p>
    <w:p w14:paraId="6FA4CCAC"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操作步骤：</w:t>
      </w:r>
    </w:p>
    <w:p w14:paraId="299AC8FB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1、输入专家组长的用户名和密码，点击登录。</w:t>
      </w:r>
    </w:p>
    <w:p w14:paraId="6F300DA2">
      <w:r>
        <w:drawing>
          <wp:inline distT="0" distB="0" distL="114300" distR="114300">
            <wp:extent cx="5248910" cy="2865120"/>
            <wp:effectExtent l="0" t="0" r="8890" b="1143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A758F">
      <w:r>
        <w:rPr>
          <w:rFonts w:hint="eastAsia" w:ascii="宋体" w:hAnsi="宋体" w:eastAsia="宋体"/>
        </w:rPr>
        <w:t>2、点击“</w:t>
      </w:r>
      <w:r>
        <w:rPr>
          <w:rFonts w:hint="eastAsia" w:ascii="宋体" w:hAnsi="宋体"/>
          <w:lang w:val="en-US" w:eastAsia="zh-CN"/>
        </w:rPr>
        <w:t>开始询标</w:t>
      </w:r>
      <w:r>
        <w:rPr>
          <w:rFonts w:hint="eastAsia" w:ascii="宋体" w:hAnsi="宋体" w:eastAsia="宋体"/>
        </w:rPr>
        <w:t>”，</w:t>
      </w:r>
      <w:r>
        <w:rPr>
          <w:rFonts w:hint="eastAsia" w:ascii="宋体" w:hAnsi="宋体"/>
          <w:lang w:val="en-US" w:eastAsia="zh-CN"/>
        </w:rPr>
        <w:t>进入投标单位列表界面。</w:t>
      </w:r>
      <w:r>
        <w:drawing>
          <wp:inline distT="0" distB="0" distL="114300" distR="114300">
            <wp:extent cx="5248910" cy="2842895"/>
            <wp:effectExtent l="0" t="0" r="8890" b="1460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50987">
      <w:pPr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3、</w:t>
      </w:r>
      <w:r>
        <w:rPr>
          <w:rFonts w:hint="eastAsia" w:ascii="宋体" w:hAnsi="宋体"/>
          <w:lang w:val="en-US" w:eastAsia="zh-CN"/>
        </w:rPr>
        <w:t>挑选需要询标的单位，</w:t>
      </w:r>
      <w:r>
        <w:rPr>
          <w:rFonts w:hint="eastAsia" w:ascii="宋体" w:hAnsi="宋体" w:eastAsia="宋体"/>
        </w:rPr>
        <w:t>点击</w:t>
      </w:r>
      <w:r>
        <w:rPr>
          <w:rFonts w:hint="eastAsia" w:ascii="宋体" w:hAnsi="宋体"/>
          <w:lang w:val="en-US" w:eastAsia="zh-CN"/>
        </w:rPr>
        <w:t>单位后的</w:t>
      </w:r>
      <w:r>
        <w:rPr>
          <w:rFonts w:hint="eastAsia" w:ascii="宋体" w:hAnsi="宋体" w:eastAsia="宋体"/>
        </w:rPr>
        <w:t>“</w:t>
      </w:r>
      <w:r>
        <w:rPr>
          <w:rFonts w:hint="eastAsia" w:ascii="宋体" w:hAnsi="宋体"/>
          <w:lang w:val="en-US" w:eastAsia="zh-CN"/>
        </w:rPr>
        <w:t>开始询标</w:t>
      </w:r>
      <w:r>
        <w:rPr>
          <w:rFonts w:hint="eastAsia" w:ascii="宋体" w:hAnsi="宋体" w:eastAsia="宋体"/>
        </w:rPr>
        <w:t>”</w:t>
      </w:r>
      <w:r>
        <w:rPr>
          <w:rFonts w:hint="eastAsia" w:ascii="宋体" w:hAnsi="宋体"/>
          <w:lang w:eastAsia="zh-CN"/>
        </w:rPr>
        <w:t>，</w:t>
      </w:r>
      <w:r>
        <w:rPr>
          <w:rFonts w:hint="eastAsia" w:ascii="宋体" w:hAnsi="宋体"/>
          <w:lang w:val="en-US" w:eastAsia="zh-CN"/>
        </w:rPr>
        <w:t>向投标单位发起询标。</w:t>
      </w:r>
    </w:p>
    <w:p w14:paraId="4ECD9C69">
      <w:pPr>
        <w:widowControl/>
        <w:jc w:val="left"/>
      </w:pPr>
      <w:r>
        <w:drawing>
          <wp:inline distT="0" distB="0" distL="114300" distR="114300">
            <wp:extent cx="5248910" cy="2842895"/>
            <wp:effectExtent l="0" t="0" r="8890" b="1460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C5614">
      <w:pPr>
        <w:widowControl/>
        <w:numPr>
          <w:ilvl w:val="0"/>
          <w:numId w:val="2"/>
        </w:numPr>
        <w:jc w:val="left"/>
      </w:pPr>
      <w:r>
        <w:rPr>
          <w:rFonts w:hint="eastAsia" w:ascii="宋体" w:hAnsi="宋体" w:eastAsia="宋体"/>
        </w:rPr>
        <w:t>点击“</w:t>
      </w:r>
      <w:r>
        <w:rPr>
          <w:rFonts w:hint="eastAsia" w:ascii="宋体" w:hAnsi="宋体"/>
          <w:lang w:val="en-US" w:eastAsia="zh-CN"/>
        </w:rPr>
        <w:t>结束询标</w:t>
      </w:r>
      <w:r>
        <w:rPr>
          <w:rFonts w:hint="eastAsia" w:ascii="宋体" w:hAnsi="宋体" w:eastAsia="宋体"/>
        </w:rPr>
        <w:t>”，</w:t>
      </w:r>
      <w:r>
        <w:rPr>
          <w:rFonts w:hint="eastAsia" w:ascii="宋体" w:hAnsi="宋体"/>
          <w:lang w:val="en-US" w:eastAsia="zh-CN"/>
        </w:rPr>
        <w:t>进入投标单位列表界面。</w:t>
      </w:r>
      <w:r>
        <w:drawing>
          <wp:inline distT="0" distB="0" distL="114300" distR="114300">
            <wp:extent cx="5248910" cy="2842895"/>
            <wp:effectExtent l="0" t="0" r="8890" b="1460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345E8">
      <w:pPr>
        <w:widowControl/>
        <w:numPr>
          <w:ilvl w:val="0"/>
          <w:numId w:val="2"/>
        </w:numPr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点击“结束询标”后，可以向其他单位继续发起询标。</w:t>
      </w:r>
    </w:p>
    <w:p w14:paraId="3B7F5700">
      <w:pPr>
        <w:widowControl/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48910" cy="2842895"/>
            <wp:effectExtent l="0" t="0" r="8890" b="1460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ED9DB">
      <w:pPr>
        <w:widowControl/>
        <w:jc w:val="left"/>
      </w:pPr>
    </w:p>
    <w:p w14:paraId="49EEF3EA"/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843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313E77"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9A858C"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E06A31"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8B03"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hint="eastAsia"/>
        <w:sz w:val="21"/>
        <w:szCs w:val="24"/>
      </w:rPr>
      <w:t>河北省</w:t>
    </w:r>
    <w:r>
      <w:rPr>
        <w:rFonts w:hint="eastAsia"/>
        <w:sz w:val="21"/>
        <w:szCs w:val="24"/>
        <w:lang w:val="en-US" w:eastAsia="zh-CN"/>
      </w:rPr>
      <w:t>公共资源交易中心</w:t>
    </w:r>
    <w:r>
      <w:rPr>
        <w:rFonts w:hint="eastAsia"/>
        <w:sz w:val="21"/>
        <w:szCs w:val="24"/>
      </w:rPr>
      <w:t xml:space="preserve">不见面询标系统代理机构及专家评委操作手册 </w:t>
    </w:r>
    <w:r>
      <w:rPr>
        <w:rFonts w:hint="eastAsia" w:ascii="Cambria" w:hAnsi="Cambria"/>
      </w:rPr>
      <w:t xml:space="preserve">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08E6C0"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D4C032"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A329F3"/>
    <w:multiLevelType w:val="singleLevel"/>
    <w:tmpl w:val="A5A329F3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NotTrackMoves/>
  <w:documentProtection w:enforcement="0"/>
  <w:defaultTabStop w:val="5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RiYWUzMjRkZmNiYWZmMzAxNzc2MjMxZTJlY2EzY2QifQ=="/>
  </w:docVars>
  <w:rsids>
    <w:rsidRoot w:val="007405F0"/>
    <w:rsid w:val="00006833"/>
    <w:rsid w:val="00032EEC"/>
    <w:rsid w:val="00043FEA"/>
    <w:rsid w:val="000461E8"/>
    <w:rsid w:val="00063A27"/>
    <w:rsid w:val="00065439"/>
    <w:rsid w:val="0006641A"/>
    <w:rsid w:val="000B634C"/>
    <w:rsid w:val="000E16D1"/>
    <w:rsid w:val="000E5AA5"/>
    <w:rsid w:val="000F0242"/>
    <w:rsid w:val="000F0776"/>
    <w:rsid w:val="0010461D"/>
    <w:rsid w:val="00105CBF"/>
    <w:rsid w:val="0012515E"/>
    <w:rsid w:val="00133AF3"/>
    <w:rsid w:val="00135F57"/>
    <w:rsid w:val="00145662"/>
    <w:rsid w:val="0015285E"/>
    <w:rsid w:val="001677AE"/>
    <w:rsid w:val="001722FF"/>
    <w:rsid w:val="00176178"/>
    <w:rsid w:val="001C389E"/>
    <w:rsid w:val="001D7660"/>
    <w:rsid w:val="001E0E9B"/>
    <w:rsid w:val="001F2B9B"/>
    <w:rsid w:val="002058EC"/>
    <w:rsid w:val="00235140"/>
    <w:rsid w:val="002410F3"/>
    <w:rsid w:val="00254DC1"/>
    <w:rsid w:val="00260726"/>
    <w:rsid w:val="002610DA"/>
    <w:rsid w:val="00264AD2"/>
    <w:rsid w:val="00272385"/>
    <w:rsid w:val="00287968"/>
    <w:rsid w:val="002A104D"/>
    <w:rsid w:val="002A1AB5"/>
    <w:rsid w:val="002B36FE"/>
    <w:rsid w:val="002B565B"/>
    <w:rsid w:val="002B6BF3"/>
    <w:rsid w:val="002D4275"/>
    <w:rsid w:val="002D590A"/>
    <w:rsid w:val="002E1124"/>
    <w:rsid w:val="00303576"/>
    <w:rsid w:val="0031001A"/>
    <w:rsid w:val="00310AA1"/>
    <w:rsid w:val="0032495E"/>
    <w:rsid w:val="0032678E"/>
    <w:rsid w:val="00334911"/>
    <w:rsid w:val="003546C6"/>
    <w:rsid w:val="00357BAA"/>
    <w:rsid w:val="00362EBF"/>
    <w:rsid w:val="00374D57"/>
    <w:rsid w:val="0037580C"/>
    <w:rsid w:val="003A373F"/>
    <w:rsid w:val="003A4200"/>
    <w:rsid w:val="003B0B9F"/>
    <w:rsid w:val="003D0B9E"/>
    <w:rsid w:val="003F1517"/>
    <w:rsid w:val="00402FE2"/>
    <w:rsid w:val="00405898"/>
    <w:rsid w:val="00450F07"/>
    <w:rsid w:val="00461E25"/>
    <w:rsid w:val="00466A14"/>
    <w:rsid w:val="004709D6"/>
    <w:rsid w:val="004723A6"/>
    <w:rsid w:val="00474DFB"/>
    <w:rsid w:val="0047507A"/>
    <w:rsid w:val="0048215E"/>
    <w:rsid w:val="004A65C3"/>
    <w:rsid w:val="004D1A7B"/>
    <w:rsid w:val="004E08EA"/>
    <w:rsid w:val="004F72CE"/>
    <w:rsid w:val="00501B97"/>
    <w:rsid w:val="00513D56"/>
    <w:rsid w:val="0054198D"/>
    <w:rsid w:val="005433DE"/>
    <w:rsid w:val="00546561"/>
    <w:rsid w:val="00557842"/>
    <w:rsid w:val="00570D64"/>
    <w:rsid w:val="00573617"/>
    <w:rsid w:val="00575750"/>
    <w:rsid w:val="0058502A"/>
    <w:rsid w:val="005854B8"/>
    <w:rsid w:val="005855F9"/>
    <w:rsid w:val="005A26CB"/>
    <w:rsid w:val="005A459E"/>
    <w:rsid w:val="005A6C33"/>
    <w:rsid w:val="005B2486"/>
    <w:rsid w:val="005B31E2"/>
    <w:rsid w:val="005C2772"/>
    <w:rsid w:val="005C2AF6"/>
    <w:rsid w:val="005C76A7"/>
    <w:rsid w:val="005D32B9"/>
    <w:rsid w:val="005D5C4B"/>
    <w:rsid w:val="005E2B5F"/>
    <w:rsid w:val="005F242B"/>
    <w:rsid w:val="005F44B2"/>
    <w:rsid w:val="005F587F"/>
    <w:rsid w:val="00601E23"/>
    <w:rsid w:val="00605F45"/>
    <w:rsid w:val="006254AE"/>
    <w:rsid w:val="00635DA0"/>
    <w:rsid w:val="00654037"/>
    <w:rsid w:val="00665C7F"/>
    <w:rsid w:val="006675A9"/>
    <w:rsid w:val="00670064"/>
    <w:rsid w:val="006742C8"/>
    <w:rsid w:val="006816C2"/>
    <w:rsid w:val="0069364D"/>
    <w:rsid w:val="006A2A99"/>
    <w:rsid w:val="006A521C"/>
    <w:rsid w:val="006A6C95"/>
    <w:rsid w:val="006B060D"/>
    <w:rsid w:val="006C0E3E"/>
    <w:rsid w:val="007101DB"/>
    <w:rsid w:val="007405F0"/>
    <w:rsid w:val="007453E7"/>
    <w:rsid w:val="00752572"/>
    <w:rsid w:val="00784A9B"/>
    <w:rsid w:val="00787E56"/>
    <w:rsid w:val="00794742"/>
    <w:rsid w:val="007A1033"/>
    <w:rsid w:val="007A6B07"/>
    <w:rsid w:val="007C4135"/>
    <w:rsid w:val="007C6209"/>
    <w:rsid w:val="007D0A93"/>
    <w:rsid w:val="007D44F1"/>
    <w:rsid w:val="007E2D19"/>
    <w:rsid w:val="007F1A05"/>
    <w:rsid w:val="00803D6B"/>
    <w:rsid w:val="00817F39"/>
    <w:rsid w:val="0086245A"/>
    <w:rsid w:val="0086296B"/>
    <w:rsid w:val="00867076"/>
    <w:rsid w:val="00882CE0"/>
    <w:rsid w:val="00883BA2"/>
    <w:rsid w:val="00896BAE"/>
    <w:rsid w:val="008B211F"/>
    <w:rsid w:val="008B339E"/>
    <w:rsid w:val="008D2D8B"/>
    <w:rsid w:val="008D33DA"/>
    <w:rsid w:val="008F7B6C"/>
    <w:rsid w:val="009002F7"/>
    <w:rsid w:val="00902DB9"/>
    <w:rsid w:val="009078AA"/>
    <w:rsid w:val="0091780B"/>
    <w:rsid w:val="0091791F"/>
    <w:rsid w:val="009253E3"/>
    <w:rsid w:val="00944E3B"/>
    <w:rsid w:val="00951E25"/>
    <w:rsid w:val="00954564"/>
    <w:rsid w:val="00986EF5"/>
    <w:rsid w:val="00991131"/>
    <w:rsid w:val="009A0402"/>
    <w:rsid w:val="009B13D4"/>
    <w:rsid w:val="009C3ADE"/>
    <w:rsid w:val="009D51D5"/>
    <w:rsid w:val="009E2D85"/>
    <w:rsid w:val="009E3000"/>
    <w:rsid w:val="009F0621"/>
    <w:rsid w:val="00A0158A"/>
    <w:rsid w:val="00A03B32"/>
    <w:rsid w:val="00A20773"/>
    <w:rsid w:val="00A25020"/>
    <w:rsid w:val="00A3507A"/>
    <w:rsid w:val="00A367AF"/>
    <w:rsid w:val="00A46135"/>
    <w:rsid w:val="00A55390"/>
    <w:rsid w:val="00A71889"/>
    <w:rsid w:val="00A745EB"/>
    <w:rsid w:val="00AD3F62"/>
    <w:rsid w:val="00AE3CBB"/>
    <w:rsid w:val="00B07299"/>
    <w:rsid w:val="00B11A5D"/>
    <w:rsid w:val="00B1370F"/>
    <w:rsid w:val="00B17DB3"/>
    <w:rsid w:val="00B3273A"/>
    <w:rsid w:val="00B55F64"/>
    <w:rsid w:val="00B7134A"/>
    <w:rsid w:val="00B734BE"/>
    <w:rsid w:val="00B77E50"/>
    <w:rsid w:val="00B819F6"/>
    <w:rsid w:val="00B81FBE"/>
    <w:rsid w:val="00B9143E"/>
    <w:rsid w:val="00BB4D1B"/>
    <w:rsid w:val="00BB574F"/>
    <w:rsid w:val="00BB6051"/>
    <w:rsid w:val="00BB6D42"/>
    <w:rsid w:val="00BD5BDB"/>
    <w:rsid w:val="00BD5D94"/>
    <w:rsid w:val="00BF2851"/>
    <w:rsid w:val="00BF3F95"/>
    <w:rsid w:val="00C0295B"/>
    <w:rsid w:val="00C07A44"/>
    <w:rsid w:val="00C26A32"/>
    <w:rsid w:val="00C3363C"/>
    <w:rsid w:val="00C52146"/>
    <w:rsid w:val="00C547F1"/>
    <w:rsid w:val="00C57DDA"/>
    <w:rsid w:val="00C62BB8"/>
    <w:rsid w:val="00C661DF"/>
    <w:rsid w:val="00C80FFF"/>
    <w:rsid w:val="00C83E30"/>
    <w:rsid w:val="00C8763A"/>
    <w:rsid w:val="00C9464C"/>
    <w:rsid w:val="00CA4F65"/>
    <w:rsid w:val="00CA5ED6"/>
    <w:rsid w:val="00CA73A0"/>
    <w:rsid w:val="00CA7414"/>
    <w:rsid w:val="00CB3CB2"/>
    <w:rsid w:val="00CB4931"/>
    <w:rsid w:val="00CB5A60"/>
    <w:rsid w:val="00CC6939"/>
    <w:rsid w:val="00CD2D47"/>
    <w:rsid w:val="00CD57CC"/>
    <w:rsid w:val="00CD7C6D"/>
    <w:rsid w:val="00CD7EB6"/>
    <w:rsid w:val="00D068C2"/>
    <w:rsid w:val="00D146A1"/>
    <w:rsid w:val="00D2740C"/>
    <w:rsid w:val="00D32014"/>
    <w:rsid w:val="00D444F6"/>
    <w:rsid w:val="00D464B7"/>
    <w:rsid w:val="00D50219"/>
    <w:rsid w:val="00D51EDD"/>
    <w:rsid w:val="00D54338"/>
    <w:rsid w:val="00D57D61"/>
    <w:rsid w:val="00D62401"/>
    <w:rsid w:val="00D74A9A"/>
    <w:rsid w:val="00D95B31"/>
    <w:rsid w:val="00DA0C68"/>
    <w:rsid w:val="00DA2667"/>
    <w:rsid w:val="00DA349B"/>
    <w:rsid w:val="00DA74DA"/>
    <w:rsid w:val="00DB2B4D"/>
    <w:rsid w:val="00DB35CE"/>
    <w:rsid w:val="00DC3235"/>
    <w:rsid w:val="00DC406A"/>
    <w:rsid w:val="00DD16F1"/>
    <w:rsid w:val="00DD1CEE"/>
    <w:rsid w:val="00E06698"/>
    <w:rsid w:val="00E2355C"/>
    <w:rsid w:val="00E470AD"/>
    <w:rsid w:val="00E50232"/>
    <w:rsid w:val="00E5650F"/>
    <w:rsid w:val="00E5756C"/>
    <w:rsid w:val="00E6490D"/>
    <w:rsid w:val="00E6653E"/>
    <w:rsid w:val="00E73D75"/>
    <w:rsid w:val="00E81B5A"/>
    <w:rsid w:val="00E82857"/>
    <w:rsid w:val="00E82BF1"/>
    <w:rsid w:val="00E9410B"/>
    <w:rsid w:val="00E94D27"/>
    <w:rsid w:val="00EA4498"/>
    <w:rsid w:val="00EB3C5B"/>
    <w:rsid w:val="00EC7733"/>
    <w:rsid w:val="00EE10B3"/>
    <w:rsid w:val="00EE26DE"/>
    <w:rsid w:val="00EE5902"/>
    <w:rsid w:val="00EF515B"/>
    <w:rsid w:val="00F00148"/>
    <w:rsid w:val="00F31CE2"/>
    <w:rsid w:val="00F374E1"/>
    <w:rsid w:val="00F441FA"/>
    <w:rsid w:val="00F5510B"/>
    <w:rsid w:val="00F57250"/>
    <w:rsid w:val="00F7608F"/>
    <w:rsid w:val="00FA19D3"/>
    <w:rsid w:val="00FB1B2B"/>
    <w:rsid w:val="00FC5D6E"/>
    <w:rsid w:val="00FC75D6"/>
    <w:rsid w:val="00FD7DEE"/>
    <w:rsid w:val="00FE342E"/>
    <w:rsid w:val="01501D76"/>
    <w:rsid w:val="020A5E7A"/>
    <w:rsid w:val="02E751B1"/>
    <w:rsid w:val="03406500"/>
    <w:rsid w:val="03B2479A"/>
    <w:rsid w:val="03E62F94"/>
    <w:rsid w:val="04927028"/>
    <w:rsid w:val="05955A20"/>
    <w:rsid w:val="05AC6C4F"/>
    <w:rsid w:val="05D93EDB"/>
    <w:rsid w:val="05DE3AA7"/>
    <w:rsid w:val="07137246"/>
    <w:rsid w:val="07470E5B"/>
    <w:rsid w:val="07B17E3D"/>
    <w:rsid w:val="080778A7"/>
    <w:rsid w:val="084A1DD2"/>
    <w:rsid w:val="08E27D6A"/>
    <w:rsid w:val="093023EA"/>
    <w:rsid w:val="09BB007A"/>
    <w:rsid w:val="0A032C11"/>
    <w:rsid w:val="0A321F79"/>
    <w:rsid w:val="0A771575"/>
    <w:rsid w:val="0A7B623C"/>
    <w:rsid w:val="0AAE64E2"/>
    <w:rsid w:val="0B8003DA"/>
    <w:rsid w:val="0BB674AF"/>
    <w:rsid w:val="0D771EDD"/>
    <w:rsid w:val="0DAA67E0"/>
    <w:rsid w:val="0EB43ECA"/>
    <w:rsid w:val="0ED77FF7"/>
    <w:rsid w:val="0F5F06D8"/>
    <w:rsid w:val="0FA57E31"/>
    <w:rsid w:val="0FE10F4A"/>
    <w:rsid w:val="106C72A8"/>
    <w:rsid w:val="11596751"/>
    <w:rsid w:val="11622737"/>
    <w:rsid w:val="116A3832"/>
    <w:rsid w:val="11765F75"/>
    <w:rsid w:val="1281236E"/>
    <w:rsid w:val="130D2C98"/>
    <w:rsid w:val="144D0D6A"/>
    <w:rsid w:val="14F717C6"/>
    <w:rsid w:val="15390ADE"/>
    <w:rsid w:val="15402D9E"/>
    <w:rsid w:val="154934C9"/>
    <w:rsid w:val="156E27C7"/>
    <w:rsid w:val="1681325A"/>
    <w:rsid w:val="169E0E59"/>
    <w:rsid w:val="16A054C3"/>
    <w:rsid w:val="16D35616"/>
    <w:rsid w:val="16F13DFA"/>
    <w:rsid w:val="16FA48B3"/>
    <w:rsid w:val="176D2DE2"/>
    <w:rsid w:val="176E41FA"/>
    <w:rsid w:val="17C3657D"/>
    <w:rsid w:val="17DD67C8"/>
    <w:rsid w:val="183E62DF"/>
    <w:rsid w:val="185B6189"/>
    <w:rsid w:val="193B73AB"/>
    <w:rsid w:val="19D540CB"/>
    <w:rsid w:val="19FD7F67"/>
    <w:rsid w:val="1ACE1A8D"/>
    <w:rsid w:val="1C1F6FB6"/>
    <w:rsid w:val="1CAC0007"/>
    <w:rsid w:val="1CB02E44"/>
    <w:rsid w:val="1CC239AC"/>
    <w:rsid w:val="1D726CE7"/>
    <w:rsid w:val="1D8506C8"/>
    <w:rsid w:val="1DB262EB"/>
    <w:rsid w:val="1DDE529B"/>
    <w:rsid w:val="1EA10561"/>
    <w:rsid w:val="1FE95DEF"/>
    <w:rsid w:val="212B1245"/>
    <w:rsid w:val="213B27FF"/>
    <w:rsid w:val="23D46F68"/>
    <w:rsid w:val="24605528"/>
    <w:rsid w:val="24965FC8"/>
    <w:rsid w:val="2507100B"/>
    <w:rsid w:val="25286905"/>
    <w:rsid w:val="25CF4CDA"/>
    <w:rsid w:val="25FA2F30"/>
    <w:rsid w:val="26253AEA"/>
    <w:rsid w:val="26330F84"/>
    <w:rsid w:val="26CD4921"/>
    <w:rsid w:val="278358C9"/>
    <w:rsid w:val="286306AA"/>
    <w:rsid w:val="2869162A"/>
    <w:rsid w:val="296F1670"/>
    <w:rsid w:val="29D92D64"/>
    <w:rsid w:val="2A061B5F"/>
    <w:rsid w:val="2A856EF0"/>
    <w:rsid w:val="2B0E2C0E"/>
    <w:rsid w:val="2BE030A7"/>
    <w:rsid w:val="2C4129D3"/>
    <w:rsid w:val="2C896F9D"/>
    <w:rsid w:val="2D0F6111"/>
    <w:rsid w:val="2DFA17AF"/>
    <w:rsid w:val="2EBE1F2E"/>
    <w:rsid w:val="2ECB6CDF"/>
    <w:rsid w:val="303E16CD"/>
    <w:rsid w:val="304A5464"/>
    <w:rsid w:val="308A3A5B"/>
    <w:rsid w:val="315849CF"/>
    <w:rsid w:val="321C56B5"/>
    <w:rsid w:val="32AD1AD9"/>
    <w:rsid w:val="33DE5AF1"/>
    <w:rsid w:val="34AC1FA1"/>
    <w:rsid w:val="359E66D9"/>
    <w:rsid w:val="35DE43F2"/>
    <w:rsid w:val="363A33AA"/>
    <w:rsid w:val="366342BF"/>
    <w:rsid w:val="37806448"/>
    <w:rsid w:val="37CE6E51"/>
    <w:rsid w:val="38886DCA"/>
    <w:rsid w:val="39541237"/>
    <w:rsid w:val="3A15504C"/>
    <w:rsid w:val="3A790E32"/>
    <w:rsid w:val="3AA86522"/>
    <w:rsid w:val="3AD755D0"/>
    <w:rsid w:val="3B0009D7"/>
    <w:rsid w:val="3C7637F7"/>
    <w:rsid w:val="3CED3330"/>
    <w:rsid w:val="3D3A70F6"/>
    <w:rsid w:val="3E3B66E2"/>
    <w:rsid w:val="3F347D3E"/>
    <w:rsid w:val="40D60A8C"/>
    <w:rsid w:val="40F12D92"/>
    <w:rsid w:val="41024195"/>
    <w:rsid w:val="419D3557"/>
    <w:rsid w:val="421C0C70"/>
    <w:rsid w:val="42451C1E"/>
    <w:rsid w:val="42B95966"/>
    <w:rsid w:val="43035861"/>
    <w:rsid w:val="43570169"/>
    <w:rsid w:val="43CE2D76"/>
    <w:rsid w:val="43D83A6A"/>
    <w:rsid w:val="441A62B2"/>
    <w:rsid w:val="450A3A5E"/>
    <w:rsid w:val="460005BB"/>
    <w:rsid w:val="47194C38"/>
    <w:rsid w:val="47217935"/>
    <w:rsid w:val="472D1DA2"/>
    <w:rsid w:val="477D0FFD"/>
    <w:rsid w:val="478F1F05"/>
    <w:rsid w:val="4800556F"/>
    <w:rsid w:val="48173F70"/>
    <w:rsid w:val="48D845AE"/>
    <w:rsid w:val="49C67347"/>
    <w:rsid w:val="4A2B750B"/>
    <w:rsid w:val="4AB06A05"/>
    <w:rsid w:val="4BCC5890"/>
    <w:rsid w:val="4D3D1623"/>
    <w:rsid w:val="4E651D1A"/>
    <w:rsid w:val="4F2B2D6A"/>
    <w:rsid w:val="4F3F1C24"/>
    <w:rsid w:val="4F96663D"/>
    <w:rsid w:val="50241CB2"/>
    <w:rsid w:val="50B84A4F"/>
    <w:rsid w:val="525C180F"/>
    <w:rsid w:val="525F1D2E"/>
    <w:rsid w:val="529E4A1C"/>
    <w:rsid w:val="52DB12D4"/>
    <w:rsid w:val="532F4F92"/>
    <w:rsid w:val="534502A4"/>
    <w:rsid w:val="54507403"/>
    <w:rsid w:val="54A45BCE"/>
    <w:rsid w:val="55A1633A"/>
    <w:rsid w:val="55C114F6"/>
    <w:rsid w:val="55DB2261"/>
    <w:rsid w:val="5614632E"/>
    <w:rsid w:val="56A236D6"/>
    <w:rsid w:val="57345B4E"/>
    <w:rsid w:val="573514C3"/>
    <w:rsid w:val="57C543FE"/>
    <w:rsid w:val="597E592B"/>
    <w:rsid w:val="5A3F4608"/>
    <w:rsid w:val="5A5566F4"/>
    <w:rsid w:val="5B4E2A95"/>
    <w:rsid w:val="5D670002"/>
    <w:rsid w:val="5D7F14F2"/>
    <w:rsid w:val="5D846725"/>
    <w:rsid w:val="5DC05EB0"/>
    <w:rsid w:val="5E351DB9"/>
    <w:rsid w:val="5E797281"/>
    <w:rsid w:val="5F1523B9"/>
    <w:rsid w:val="5F4F6758"/>
    <w:rsid w:val="5F9D56AB"/>
    <w:rsid w:val="60090FF9"/>
    <w:rsid w:val="60B940F6"/>
    <w:rsid w:val="61104DB0"/>
    <w:rsid w:val="612A5313"/>
    <w:rsid w:val="613E75C2"/>
    <w:rsid w:val="616001B6"/>
    <w:rsid w:val="6247718C"/>
    <w:rsid w:val="63D6320E"/>
    <w:rsid w:val="63DF4A8E"/>
    <w:rsid w:val="65125B3C"/>
    <w:rsid w:val="65235ACD"/>
    <w:rsid w:val="66124841"/>
    <w:rsid w:val="66CF42EB"/>
    <w:rsid w:val="67D56362"/>
    <w:rsid w:val="68EB75F5"/>
    <w:rsid w:val="692F6BD7"/>
    <w:rsid w:val="69343784"/>
    <w:rsid w:val="6959067E"/>
    <w:rsid w:val="6BCC59CF"/>
    <w:rsid w:val="6BE123DA"/>
    <w:rsid w:val="6CDF0597"/>
    <w:rsid w:val="702B4364"/>
    <w:rsid w:val="70500FE2"/>
    <w:rsid w:val="707E472D"/>
    <w:rsid w:val="70E36F33"/>
    <w:rsid w:val="71646722"/>
    <w:rsid w:val="722D3ABC"/>
    <w:rsid w:val="729057D5"/>
    <w:rsid w:val="72BF1D17"/>
    <w:rsid w:val="733A3E06"/>
    <w:rsid w:val="73851776"/>
    <w:rsid w:val="73E129E9"/>
    <w:rsid w:val="75206B45"/>
    <w:rsid w:val="7598064C"/>
    <w:rsid w:val="75B10841"/>
    <w:rsid w:val="76572DFC"/>
    <w:rsid w:val="76C164E2"/>
    <w:rsid w:val="77187059"/>
    <w:rsid w:val="77443FA1"/>
    <w:rsid w:val="77DD1D3F"/>
    <w:rsid w:val="781B5C33"/>
    <w:rsid w:val="7869124F"/>
    <w:rsid w:val="7A747897"/>
    <w:rsid w:val="7ACB41B1"/>
    <w:rsid w:val="7B8C6931"/>
    <w:rsid w:val="7BA63112"/>
    <w:rsid w:val="7C7F5D9D"/>
    <w:rsid w:val="7CCB1C49"/>
    <w:rsid w:val="7E1A53EA"/>
    <w:rsid w:val="7E4C4D97"/>
    <w:rsid w:val="7E7C606A"/>
    <w:rsid w:val="7E812BA7"/>
    <w:rsid w:val="7EDB44D5"/>
    <w:rsid w:val="7F245991"/>
    <w:rsid w:val="7F2F2459"/>
    <w:rsid w:val="7F3E32D6"/>
    <w:rsid w:val="7F9718EF"/>
    <w:rsid w:val="7FFE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6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6"/>
    <w:qFormat/>
    <w:uiPriority w:val="0"/>
    <w:pPr>
      <w:keepNext/>
      <w:keepLines/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5"/>
    <w:qFormat/>
    <w:uiPriority w:val="0"/>
    <w:pPr>
      <w:keepNext/>
      <w:keepLines/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7"/>
    <w:qFormat/>
    <w:uiPriority w:val="0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9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90"/>
    <w:qFormat/>
    <w:uiPriority w:val="0"/>
    <w:pPr>
      <w:outlineLvl w:val="7"/>
    </w:pPr>
  </w:style>
  <w:style w:type="paragraph" w:styleId="10">
    <w:name w:val="heading 9"/>
    <w:basedOn w:val="9"/>
    <w:next w:val="1"/>
    <w:link w:val="92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semiHidden/>
    <w:unhideWhenUsed/>
    <w:qFormat/>
    <w:uiPriority w:val="1"/>
  </w:style>
  <w:style w:type="table" w:default="1" w:styleId="4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0"/>
    <w:qFormat/>
    <w:uiPriority w:val="0"/>
  </w:style>
  <w:style w:type="paragraph" w:styleId="16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4"/>
    <w:qFormat/>
    <w:uiPriority w:val="0"/>
    <w:pPr>
      <w:spacing w:after="120"/>
    </w:pPr>
  </w:style>
  <w:style w:type="paragraph" w:styleId="18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5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4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9"/>
    <w:qFormat/>
    <w:uiPriority w:val="0"/>
    <w:rPr>
      <w:sz w:val="18"/>
      <w:szCs w:val="18"/>
    </w:rPr>
  </w:style>
  <w:style w:type="paragraph" w:styleId="26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annotation subject"/>
    <w:basedOn w:val="15"/>
    <w:next w:val="15"/>
    <w:link w:val="129"/>
    <w:semiHidden/>
    <w:unhideWhenUsed/>
    <w:qFormat/>
    <w:uiPriority w:val="0"/>
    <w:rPr>
      <w:b/>
      <w:bCs/>
    </w:rPr>
  </w:style>
  <w:style w:type="paragraph" w:styleId="40">
    <w:name w:val="Body Text First Indent"/>
    <w:basedOn w:val="17"/>
    <w:link w:val="103"/>
    <w:qFormat/>
    <w:uiPriority w:val="0"/>
    <w:pPr>
      <w:ind w:firstLine="100" w:firstLineChars="100"/>
    </w:pPr>
  </w:style>
  <w:style w:type="character" w:styleId="43">
    <w:name w:val="Strong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qFormat/>
    <w:uiPriority w:val="0"/>
    <w:rPr>
      <w:color w:val="800080"/>
      <w:u w:val="single"/>
    </w:rPr>
  </w:style>
  <w:style w:type="character" w:styleId="46">
    <w:name w:val="Hyperlink"/>
    <w:basedOn w:val="42"/>
    <w:qFormat/>
    <w:uiPriority w:val="99"/>
    <w:rPr>
      <w:color w:val="0000FF"/>
      <w:u w:val="single"/>
    </w:rPr>
  </w:style>
  <w:style w:type="character" w:styleId="47">
    <w:name w:val="annotation reference"/>
    <w:qFormat/>
    <w:uiPriority w:val="0"/>
    <w:rPr>
      <w:sz w:val="21"/>
      <w:szCs w:val="21"/>
    </w:rPr>
  </w:style>
  <w:style w:type="paragraph" w:customStyle="1" w:styleId="4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9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1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2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3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4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5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6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0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7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7"/>
    <w:link w:val="118"/>
    <w:qFormat/>
    <w:uiPriority w:val="0"/>
    <w:pPr>
      <w:ind w:firstLine="360"/>
    </w:pPr>
  </w:style>
  <w:style w:type="paragraph" w:customStyle="1" w:styleId="72">
    <w:name w:val="样式6"/>
    <w:basedOn w:val="27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6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85">
    <w:name w:val="标题 5 字符"/>
    <w:link w:val="6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字符"/>
    <w:link w:val="27"/>
    <w:qFormat/>
    <w:uiPriority w:val="99"/>
    <w:rPr>
      <w:kern w:val="2"/>
      <w:sz w:val="18"/>
      <w:szCs w:val="18"/>
    </w:rPr>
  </w:style>
  <w:style w:type="character" w:customStyle="1" w:styleId="87">
    <w:name w:val="标题 6 字符"/>
    <w:link w:val="7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字符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字符"/>
    <w:link w:val="8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字符"/>
    <w:link w:val="9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字符"/>
    <w:link w:val="24"/>
    <w:qFormat/>
    <w:uiPriority w:val="0"/>
    <w:rPr>
      <w:kern w:val="2"/>
      <w:sz w:val="21"/>
      <w:szCs w:val="24"/>
    </w:rPr>
  </w:style>
  <w:style w:type="character" w:customStyle="1" w:styleId="92">
    <w:name w:val="标题 9 字符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字符"/>
    <w:link w:val="18"/>
    <w:qFormat/>
    <w:uiPriority w:val="0"/>
    <w:rPr>
      <w:kern w:val="2"/>
      <w:sz w:val="21"/>
      <w:szCs w:val="24"/>
    </w:rPr>
  </w:style>
  <w:style w:type="character" w:customStyle="1" w:styleId="95">
    <w:name w:val="纯文本 字符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字符"/>
    <w:link w:val="3"/>
    <w:qFormat/>
    <w:uiPriority w:val="0"/>
    <w:rPr>
      <w:b/>
      <w:bCs/>
      <w:kern w:val="2"/>
      <w:sz w:val="30"/>
      <w:szCs w:val="32"/>
    </w:rPr>
  </w:style>
  <w:style w:type="character" w:customStyle="1" w:styleId="97">
    <w:name w:val="标题 3 字符"/>
    <w:link w:val="4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字符"/>
    <w:link w:val="26"/>
    <w:qFormat/>
    <w:uiPriority w:val="99"/>
    <w:rPr>
      <w:kern w:val="2"/>
      <w:sz w:val="18"/>
      <w:szCs w:val="18"/>
    </w:rPr>
  </w:style>
  <w:style w:type="character" w:customStyle="1" w:styleId="99">
    <w:name w:val="批注框文本 字符"/>
    <w:link w:val="25"/>
    <w:qFormat/>
    <w:uiPriority w:val="0"/>
    <w:rPr>
      <w:kern w:val="2"/>
      <w:sz w:val="18"/>
      <w:szCs w:val="18"/>
    </w:rPr>
  </w:style>
  <w:style w:type="character" w:customStyle="1" w:styleId="100">
    <w:name w:val="批注文字 字符"/>
    <w:link w:val="15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字符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文本首行缩进 字符"/>
    <w:link w:val="40"/>
    <w:qFormat/>
    <w:uiPriority w:val="0"/>
    <w:rPr>
      <w:kern w:val="2"/>
      <w:sz w:val="21"/>
      <w:szCs w:val="24"/>
    </w:rPr>
  </w:style>
  <w:style w:type="character" w:customStyle="1" w:styleId="104">
    <w:name w:val="正文文本 字符"/>
    <w:link w:val="17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字符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字符"/>
    <w:link w:val="33"/>
    <w:qFormat/>
    <w:uiPriority w:val="0"/>
    <w:rPr>
      <w:kern w:val="2"/>
      <w:sz w:val="16"/>
      <w:szCs w:val="16"/>
    </w:rPr>
  </w:style>
  <w:style w:type="character" w:customStyle="1" w:styleId="108">
    <w:name w:val="文档结构图 字符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字符"/>
    <w:link w:val="16"/>
    <w:qFormat/>
    <w:uiPriority w:val="0"/>
    <w:rPr>
      <w:kern w:val="2"/>
      <w:sz w:val="16"/>
      <w:szCs w:val="16"/>
    </w:rPr>
  </w:style>
  <w:style w:type="character" w:customStyle="1" w:styleId="111">
    <w:name w:val="正文文本 2 字符"/>
    <w:link w:val="36"/>
    <w:qFormat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字符"/>
    <w:link w:val="23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字符"/>
    <w:link w:val="39"/>
    <w:semiHidden/>
    <w:qFormat/>
    <w:uiPriority w:val="0"/>
    <w:rPr>
      <w:b/>
      <w:bCs/>
      <w:kern w:val="2"/>
      <w:sz w:val="21"/>
      <w:szCs w:val="24"/>
    </w:rPr>
  </w:style>
  <w:style w:type="character" w:customStyle="1" w:styleId="130">
    <w:name w:val="样式1 Char"/>
    <w:link w:val="59"/>
    <w:qFormat/>
    <w:uiPriority w:val="0"/>
    <w:rPr>
      <w:kern w:val="2"/>
      <w:sz w:val="24"/>
      <w:szCs w:val="24"/>
    </w:rPr>
  </w:style>
  <w:style w:type="paragraph" w:styleId="13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2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38B72-24CA-44C3-BADA-FB41B5D4A5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10</Pages>
  <Words>820</Words>
  <Characters>844</Characters>
  <Lines>14</Lines>
  <Paragraphs>4</Paragraphs>
  <TotalTime>1</TotalTime>
  <ScaleCrop>false</ScaleCrop>
  <LinksUpToDate>false</LinksUpToDate>
  <CharactersWithSpaces>856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黄晨;陆俊峰</dc:creator>
  <cp:lastModifiedBy></cp:lastModifiedBy>
  <cp:lastPrinted>2025-04-25T05:01:00Z</cp:lastPrinted>
  <dcterms:modified xsi:type="dcterms:W3CDTF">2025-04-29T01:36:07Z</dcterms:modified>
  <dc:title>操作手册</dc:title>
  <cp:revision>290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C608BF2B5B074DD6A4BE4029EBC6B32C_13</vt:lpwstr>
  </property>
  <property fmtid="{D5CDD505-2E9C-101B-9397-08002B2CF9AE}" pid="4" name="KSOTemplateDocerSaveRecord">
    <vt:lpwstr>eyJoZGlkIjoiYmZlYTE4OGE1NmNkM2I0NGZlNjNlZWZhNjQ1NTBiYzAiLCJ1c2VySWQiOiI3MTE4NDI2MTQifQ==</vt:lpwstr>
  </property>
</Properties>
</file>